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3AFCA" w14:textId="77777777" w:rsidR="00F05262" w:rsidRDefault="00904EFD">
      <w:pPr>
        <w:spacing w:after="80"/>
      </w:pPr>
      <w:r>
        <w:rPr>
          <w:b/>
          <w:bCs/>
          <w:sz w:val="21"/>
          <w:szCs w:val="21"/>
        </w:rPr>
        <w:t xml:space="preserve">Asunto: </w:t>
      </w:r>
      <w:r>
        <w:rPr>
          <w:sz w:val="21"/>
          <w:szCs w:val="21"/>
        </w:rPr>
        <w:t>Observaciones al proyecto de resolución "Por la cual se deroga y sustituye la Resolución MME 40159 de 2026, mediante la cual se reglamentan los artículos 2.2.3.2.4.17, 2.2.3.2.4.19 y 2.2.3.2.4.21 del Decreto 1073 de 2015 en lo relacionado con el Programa Colombia Solar"</w:t>
      </w:r>
    </w:p>
    <w:p w14:paraId="6DA3AFCC" w14:textId="73C554E7" w:rsidR="00F05262" w:rsidRDefault="00935159">
      <w:pPr>
        <w:spacing w:after="200"/>
      </w:pPr>
      <w:r>
        <w:t xml:space="preserve">Buen día, </w:t>
      </w:r>
    </w:p>
    <w:p w14:paraId="6DA3AFCD" w14:textId="77777777" w:rsidR="00F05262" w:rsidRDefault="00904EFD">
      <w:pPr>
        <w:spacing w:after="200"/>
      </w:pPr>
      <w:r>
        <w:t>En el marco de la revisión técnica y de consistencia contractual del proyecto de resolución del asunto, el Grupo de Supervisión de la Dirección de Energía Eléctrica remite las observaciones identificadas sobre el documento, con el propósito de que sean valoradas antes de su expedición.</w:t>
      </w:r>
    </w:p>
    <w:p w14:paraId="6DA3AFCE" w14:textId="7CFFDBF3" w:rsidR="00F05262" w:rsidRDefault="00904EFD">
      <w:pPr>
        <w:spacing w:after="300"/>
      </w:pPr>
      <w:r>
        <w:t>Las observaciones se concentran principalmente en dos aspectos transversales: (i) la conveniencia de revisar la figura del Contrato de AOM entre el Ministerio y el Agente Comercializador, considerando que la transferencia de propiedad de los activos a este último podría hacer innecesaria dicha figura contractual, y (</w:t>
      </w:r>
      <w:proofErr w:type="spellStart"/>
      <w:r>
        <w:t>ii</w:t>
      </w:r>
      <w:proofErr w:type="spellEnd"/>
      <w:r>
        <w:t xml:space="preserve">) la necesidad de precisar el rol de la CREG, conforme al artículo 87 de la Ley 142 de 1994, en la regulación de la remuneración asociada a las actividades de AOM en el mercado regulado. A </w:t>
      </w:r>
      <w:r w:rsidR="00935159">
        <w:t>continuación,</w:t>
      </w:r>
      <w:r>
        <w:t xml:space="preserve"> se presenta el detalle de las observaciones por artículo:</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2400"/>
        <w:gridCol w:w="3300"/>
        <w:gridCol w:w="3600"/>
      </w:tblGrid>
      <w:tr w:rsidR="00F05262" w14:paraId="6DA3AFD3" w14:textId="77777777">
        <w:tblPrEx>
          <w:tblCellMar>
            <w:top w:w="0" w:type="dxa"/>
            <w:bottom w:w="0" w:type="dxa"/>
          </w:tblCellMar>
        </w:tblPrEx>
        <w:trPr>
          <w:tblHeader/>
        </w:trPr>
        <w:tc>
          <w:tcPr>
            <w:tcW w:w="500" w:type="dxa"/>
            <w:tcBorders>
              <w:top w:val="single" w:sz="4" w:space="0" w:color="B7C3D9"/>
              <w:left w:val="single" w:sz="4" w:space="0" w:color="B7C3D9"/>
              <w:bottom w:val="single" w:sz="4" w:space="0" w:color="B7C3D9"/>
              <w:right w:val="single" w:sz="4" w:space="0" w:color="B7C3D9"/>
            </w:tcBorders>
            <w:shd w:val="clear" w:color="auto" w:fill="1F3864"/>
            <w:tcMar>
              <w:top w:w="80" w:type="dxa"/>
              <w:left w:w="100" w:type="dxa"/>
              <w:bottom w:w="80" w:type="dxa"/>
              <w:right w:w="100" w:type="dxa"/>
            </w:tcMar>
            <w:vAlign w:val="center"/>
          </w:tcPr>
          <w:p w14:paraId="6DA3AFCF" w14:textId="77777777" w:rsidR="00F05262" w:rsidRDefault="00904EFD">
            <w:r>
              <w:rPr>
                <w:b/>
                <w:bCs/>
                <w:color w:val="FFFFFF"/>
                <w:sz w:val="19"/>
                <w:szCs w:val="19"/>
              </w:rPr>
              <w:t>No.</w:t>
            </w:r>
          </w:p>
        </w:tc>
        <w:tc>
          <w:tcPr>
            <w:tcW w:w="2400" w:type="dxa"/>
            <w:tcBorders>
              <w:top w:val="single" w:sz="4" w:space="0" w:color="B7C3D9"/>
              <w:left w:val="single" w:sz="4" w:space="0" w:color="B7C3D9"/>
              <w:bottom w:val="single" w:sz="4" w:space="0" w:color="B7C3D9"/>
              <w:right w:val="single" w:sz="4" w:space="0" w:color="B7C3D9"/>
            </w:tcBorders>
            <w:shd w:val="clear" w:color="auto" w:fill="1F3864"/>
            <w:tcMar>
              <w:top w:w="80" w:type="dxa"/>
              <w:left w:w="100" w:type="dxa"/>
              <w:bottom w:w="80" w:type="dxa"/>
              <w:right w:w="100" w:type="dxa"/>
            </w:tcMar>
            <w:vAlign w:val="center"/>
          </w:tcPr>
          <w:p w14:paraId="6DA3AFD0" w14:textId="77777777" w:rsidR="00F05262" w:rsidRDefault="00904EFD">
            <w:r>
              <w:rPr>
                <w:b/>
                <w:bCs/>
                <w:color w:val="FFFFFF"/>
                <w:sz w:val="19"/>
                <w:szCs w:val="19"/>
              </w:rPr>
              <w:t>Artículo / Numeral</w:t>
            </w:r>
          </w:p>
        </w:tc>
        <w:tc>
          <w:tcPr>
            <w:tcW w:w="3300" w:type="dxa"/>
            <w:tcBorders>
              <w:top w:val="single" w:sz="4" w:space="0" w:color="B7C3D9"/>
              <w:left w:val="single" w:sz="4" w:space="0" w:color="B7C3D9"/>
              <w:bottom w:val="single" w:sz="4" w:space="0" w:color="B7C3D9"/>
              <w:right w:val="single" w:sz="4" w:space="0" w:color="B7C3D9"/>
            </w:tcBorders>
            <w:shd w:val="clear" w:color="auto" w:fill="1F3864"/>
            <w:tcMar>
              <w:top w:w="80" w:type="dxa"/>
              <w:left w:w="100" w:type="dxa"/>
              <w:bottom w:w="80" w:type="dxa"/>
              <w:right w:w="100" w:type="dxa"/>
            </w:tcMar>
            <w:vAlign w:val="center"/>
          </w:tcPr>
          <w:p w14:paraId="6DA3AFD1" w14:textId="77777777" w:rsidR="00F05262" w:rsidRDefault="00904EFD">
            <w:r>
              <w:rPr>
                <w:b/>
                <w:bCs/>
                <w:color w:val="FFFFFF"/>
                <w:sz w:val="19"/>
                <w:szCs w:val="19"/>
              </w:rPr>
              <w:t>Disposición observada</w:t>
            </w:r>
          </w:p>
        </w:tc>
        <w:tc>
          <w:tcPr>
            <w:tcW w:w="3600" w:type="dxa"/>
            <w:tcBorders>
              <w:top w:val="single" w:sz="4" w:space="0" w:color="B7C3D9"/>
              <w:left w:val="single" w:sz="4" w:space="0" w:color="B7C3D9"/>
              <w:bottom w:val="single" w:sz="4" w:space="0" w:color="B7C3D9"/>
              <w:right w:val="single" w:sz="4" w:space="0" w:color="B7C3D9"/>
            </w:tcBorders>
            <w:shd w:val="clear" w:color="auto" w:fill="1F3864"/>
            <w:tcMar>
              <w:top w:w="80" w:type="dxa"/>
              <w:left w:w="100" w:type="dxa"/>
              <w:bottom w:w="80" w:type="dxa"/>
              <w:right w:w="100" w:type="dxa"/>
            </w:tcMar>
            <w:vAlign w:val="center"/>
          </w:tcPr>
          <w:p w14:paraId="6DA3AFD2" w14:textId="77777777" w:rsidR="00F05262" w:rsidRDefault="00904EFD">
            <w:r>
              <w:rPr>
                <w:b/>
                <w:bCs/>
                <w:color w:val="FFFFFF"/>
                <w:sz w:val="19"/>
                <w:szCs w:val="19"/>
              </w:rPr>
              <w:t>Observación propuesta</w:t>
            </w:r>
          </w:p>
        </w:tc>
      </w:tr>
      <w:tr w:rsidR="00F05262" w14:paraId="6DA3AFD8"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D4" w14:textId="77777777" w:rsidR="00F05262" w:rsidRDefault="00904EFD">
            <w:r>
              <w:rPr>
                <w:b/>
                <w:bCs/>
                <w:sz w:val="18"/>
                <w:szCs w:val="18"/>
              </w:rPr>
              <w:t>1</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D5" w14:textId="77777777" w:rsidR="00F05262" w:rsidRDefault="00904EFD">
            <w:r>
              <w:rPr>
                <w:b/>
                <w:bCs/>
                <w:sz w:val="18"/>
                <w:szCs w:val="18"/>
              </w:rPr>
              <w:t>Artículo 2 – Ámbito de aplicación</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D6" w14:textId="77777777" w:rsidR="00F05262" w:rsidRDefault="00904EFD">
            <w:r>
              <w:rPr>
                <w:sz w:val="18"/>
                <w:szCs w:val="18"/>
              </w:rPr>
              <w:t>Aplicabilidad a los agentes que intervienen en la prestación del servicio, con quienes el M</w:t>
            </w:r>
            <w:r>
              <w:rPr>
                <w:sz w:val="18"/>
                <w:szCs w:val="18"/>
              </w:rPr>
              <w:t>M</w:t>
            </w:r>
            <w:r>
              <w:rPr>
                <w:sz w:val="18"/>
                <w:szCs w:val="18"/>
              </w:rPr>
              <w:t>E podrá celebrar negocios jurídicos para la ejecución de recursos de inversión.</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D7" w14:textId="77777777" w:rsidR="00F05262" w:rsidRDefault="00904EFD">
            <w:r>
              <w:rPr>
                <w:sz w:val="18"/>
                <w:szCs w:val="18"/>
              </w:rPr>
              <w:t>Se sugiere precisar en qué caso el Ministerio asignaría recursos a los agentes para la prestación del servicio público.</w:t>
            </w:r>
          </w:p>
        </w:tc>
      </w:tr>
      <w:tr w:rsidR="00F05262" w14:paraId="6DA3AFDD"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D9" w14:textId="77777777" w:rsidR="00F05262" w:rsidRDefault="00904EFD">
            <w:r>
              <w:rPr>
                <w:b/>
                <w:bCs/>
                <w:sz w:val="18"/>
                <w:szCs w:val="18"/>
              </w:rPr>
              <w:t>2</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DA" w14:textId="77777777" w:rsidR="00F05262" w:rsidRDefault="00904EFD">
            <w:r>
              <w:rPr>
                <w:b/>
                <w:bCs/>
                <w:sz w:val="18"/>
                <w:szCs w:val="18"/>
              </w:rPr>
              <w:t>Artículo 5 – Definiciones ("Contrato AOM")</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DB" w14:textId="77777777" w:rsidR="00F05262" w:rsidRDefault="00904EFD">
            <w:r>
              <w:rPr>
                <w:sz w:val="18"/>
                <w:szCs w:val="18"/>
              </w:rPr>
              <w:t>Contrato que celebra el Ministerio de Minas y Energía con el Agente Comercializador para desarrollar las actividades de AOM.</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DC" w14:textId="77777777" w:rsidR="00F05262" w:rsidRDefault="00904EFD">
            <w:r>
              <w:rPr>
                <w:sz w:val="18"/>
                <w:szCs w:val="18"/>
              </w:rPr>
              <w:t>Se recomienda valorar la modificación de la definición, en el sentido de que no se suscriba Contrato de AOM con el Ministerio, dado que los activos pasan a ser propiedad del Comercializador.</w:t>
            </w:r>
          </w:p>
        </w:tc>
      </w:tr>
      <w:tr w:rsidR="00F05262" w14:paraId="6DA3AFE2"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DE" w14:textId="77777777" w:rsidR="00F05262" w:rsidRDefault="00904EFD">
            <w:r>
              <w:rPr>
                <w:b/>
                <w:bCs/>
                <w:sz w:val="18"/>
                <w:szCs w:val="18"/>
              </w:rPr>
              <w:t>3</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DF" w14:textId="77777777" w:rsidR="00F05262" w:rsidRDefault="00904EFD">
            <w:r>
              <w:rPr>
                <w:b/>
                <w:bCs/>
                <w:sz w:val="18"/>
                <w:szCs w:val="18"/>
              </w:rPr>
              <w:t>Artículo 5 – Definiciones ("Contratista AOM")</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E0" w14:textId="09041771" w:rsidR="00F05262" w:rsidRDefault="00904EFD">
            <w:r>
              <w:rPr>
                <w:sz w:val="18"/>
                <w:szCs w:val="18"/>
              </w:rPr>
              <w:t>Agente Comercializador</w:t>
            </w:r>
            <w:r>
              <w:rPr>
                <w:sz w:val="18"/>
                <w:szCs w:val="18"/>
              </w:rPr>
              <w:t xml:space="preserve"> que desarrolla las actividades de AOM.</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E1" w14:textId="77777777" w:rsidR="00F05262" w:rsidRDefault="00904EFD">
            <w:r>
              <w:rPr>
                <w:sz w:val="18"/>
                <w:szCs w:val="18"/>
              </w:rPr>
              <w:t>Se sugiere la misma consideración del numeral anterior, relacionada con la eliminación de la figura de Contrato de AOM con el Ministerio.</w:t>
            </w:r>
          </w:p>
        </w:tc>
      </w:tr>
      <w:tr w:rsidR="00F05262" w14:paraId="6DA3AFE7"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3" w14:textId="77777777" w:rsidR="00F05262" w:rsidRDefault="00904EFD">
            <w:r>
              <w:rPr>
                <w:b/>
                <w:bCs/>
                <w:sz w:val="18"/>
                <w:szCs w:val="18"/>
              </w:rPr>
              <w:t>4</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4" w14:textId="77777777" w:rsidR="00F05262" w:rsidRDefault="00904EFD">
            <w:r>
              <w:rPr>
                <w:b/>
                <w:bCs/>
                <w:sz w:val="18"/>
                <w:szCs w:val="18"/>
              </w:rPr>
              <w:t>Artículo 5 – Definiciones ("Programa Colombia Solar")</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5" w14:textId="77777777" w:rsidR="00F05262" w:rsidRDefault="00904EFD">
            <w:r>
              <w:rPr>
                <w:sz w:val="18"/>
                <w:szCs w:val="18"/>
              </w:rPr>
              <w:t>Referencia a los usuarios de estratos 1, 2 y 3 del SIN y de las ZNI como beneficiarios del Programa.</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6" w14:textId="77777777" w:rsidR="00F05262" w:rsidRDefault="00904EFD">
            <w:r>
              <w:rPr>
                <w:sz w:val="18"/>
                <w:szCs w:val="18"/>
              </w:rPr>
              <w:t>Se recomienda dar mayor claridad frente a la aplicabilidad del esquema para las ZNI, considerando que la dinámica del AOM es distinta en dichas zonas.</w:t>
            </w:r>
          </w:p>
        </w:tc>
      </w:tr>
      <w:tr w:rsidR="00F05262" w14:paraId="6DA3AFEC"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E8" w14:textId="77777777" w:rsidR="00F05262" w:rsidRDefault="00904EFD">
            <w:r>
              <w:rPr>
                <w:b/>
                <w:bCs/>
                <w:sz w:val="18"/>
                <w:szCs w:val="18"/>
              </w:rPr>
              <w:t>5</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E9" w14:textId="77777777" w:rsidR="00F05262" w:rsidRDefault="00904EFD">
            <w:r>
              <w:rPr>
                <w:b/>
                <w:bCs/>
                <w:sz w:val="18"/>
                <w:szCs w:val="18"/>
              </w:rPr>
              <w:t>Artículo 5 – Definiciones ("Beneficiario Programa Colombia Solar")</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EA" w14:textId="77777777" w:rsidR="00F05262" w:rsidRDefault="00904EFD">
            <w:r>
              <w:rPr>
                <w:sz w:val="18"/>
                <w:szCs w:val="18"/>
              </w:rPr>
              <w:t>Usuario que "ha sido caracterizado para ser parte del Programa Colombia Solar".</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EB" w14:textId="326A1591" w:rsidR="00F05262" w:rsidRDefault="00904EFD">
            <w:r>
              <w:rPr>
                <w:sz w:val="18"/>
                <w:szCs w:val="18"/>
              </w:rPr>
              <w:t xml:space="preserve">Se sugiere ampliar la definición incluyendo que el usuario, además de caracterizado, </w:t>
            </w:r>
            <w:r>
              <w:rPr>
                <w:sz w:val="18"/>
                <w:szCs w:val="18"/>
              </w:rPr>
              <w:t>haya sido aprobado</w:t>
            </w:r>
            <w:r w:rsidR="00935159">
              <w:rPr>
                <w:sz w:val="18"/>
                <w:szCs w:val="18"/>
              </w:rPr>
              <w:t xml:space="preserve"> y </w:t>
            </w:r>
            <w:r w:rsidR="00935159">
              <w:rPr>
                <w:sz w:val="18"/>
                <w:szCs w:val="18"/>
              </w:rPr>
              <w:t>cuente con factibilidad</w:t>
            </w:r>
            <w:r w:rsidR="00935159">
              <w:rPr>
                <w:sz w:val="18"/>
                <w:szCs w:val="18"/>
              </w:rPr>
              <w:t>.</w:t>
            </w:r>
          </w:p>
        </w:tc>
      </w:tr>
      <w:tr w:rsidR="00F05262" w14:paraId="6DA3AFF1"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D" w14:textId="77777777" w:rsidR="00F05262" w:rsidRDefault="00904EFD">
            <w:r>
              <w:rPr>
                <w:b/>
                <w:bCs/>
                <w:sz w:val="18"/>
                <w:szCs w:val="18"/>
              </w:rPr>
              <w:t>6</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E" w14:textId="77777777" w:rsidR="00F05262" w:rsidRDefault="00904EFD">
            <w:r>
              <w:rPr>
                <w:b/>
                <w:bCs/>
                <w:sz w:val="18"/>
                <w:szCs w:val="18"/>
              </w:rPr>
              <w:t>Artículo 5 – Definiciones ("Vida Útil de las Soluciones")</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EF" w14:textId="77777777" w:rsidR="00F05262" w:rsidRDefault="00904EFD">
            <w:r>
              <w:rPr>
                <w:sz w:val="18"/>
                <w:szCs w:val="18"/>
              </w:rPr>
              <w:t>Se establece una vida útil de veinticinco (25) años para el sistema fotovoltaico.</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F0" w14:textId="07B3A74A" w:rsidR="00F05262" w:rsidRDefault="00904EFD">
            <w:r>
              <w:rPr>
                <w:sz w:val="18"/>
                <w:szCs w:val="18"/>
              </w:rPr>
              <w:t xml:space="preserve">Se sugiere tomar como referencia la Resolución CREG 101 026 de 2022, en la cual cada elemento del sistema cuenta con una vida útil regulatoria propia, sin que </w:t>
            </w:r>
            <w:r w:rsidR="00935159">
              <w:rPr>
                <w:sz w:val="18"/>
                <w:szCs w:val="18"/>
              </w:rPr>
              <w:t>se generalice</w:t>
            </w:r>
            <w:r>
              <w:rPr>
                <w:sz w:val="18"/>
                <w:szCs w:val="18"/>
              </w:rPr>
              <w:t xml:space="preserve"> dicho periodo para todo el sistema.</w:t>
            </w:r>
          </w:p>
        </w:tc>
      </w:tr>
      <w:tr w:rsidR="00F05262" w14:paraId="6DA3AFF6"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2" w14:textId="77777777" w:rsidR="00F05262" w:rsidRDefault="00904EFD">
            <w:r>
              <w:rPr>
                <w:b/>
                <w:bCs/>
                <w:sz w:val="18"/>
                <w:szCs w:val="18"/>
              </w:rPr>
              <w:t>7</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3" w14:textId="77777777" w:rsidR="00F05262" w:rsidRDefault="00904EFD">
            <w:r>
              <w:rPr>
                <w:b/>
                <w:bCs/>
                <w:sz w:val="18"/>
                <w:szCs w:val="18"/>
              </w:rPr>
              <w:t>Artículo 6 – Instrumentos contractuales para la administración y gestión</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4" w14:textId="77777777" w:rsidR="00F05262" w:rsidRDefault="00904EFD">
            <w:r>
              <w:rPr>
                <w:sz w:val="18"/>
                <w:szCs w:val="18"/>
              </w:rPr>
              <w:t>Referencia a la "estructuración, ejecución, operación, mantenimiento y seguimiento" de proyectos.</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5" w14:textId="77777777" w:rsidR="00F05262" w:rsidRDefault="00904EFD">
            <w:r>
              <w:rPr>
                <w:sz w:val="18"/>
                <w:szCs w:val="18"/>
              </w:rPr>
              <w:t>Se recomienda valorar la eliminación de esta referencia, en línea con la sugerencia de no suscribir Contrato de AOM con el Ministerio, dado que los activos pasan a propiedad del Comercializador.</w:t>
            </w:r>
          </w:p>
        </w:tc>
      </w:tr>
      <w:tr w:rsidR="00F05262" w14:paraId="6DA3AFFB"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F7" w14:textId="77777777" w:rsidR="00F05262" w:rsidRDefault="00904EFD">
            <w:r>
              <w:rPr>
                <w:b/>
                <w:bCs/>
                <w:sz w:val="18"/>
                <w:szCs w:val="18"/>
              </w:rPr>
              <w:t>8</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F8" w14:textId="77777777" w:rsidR="00F05262" w:rsidRDefault="00904EFD">
            <w:r>
              <w:rPr>
                <w:b/>
                <w:bCs/>
                <w:sz w:val="18"/>
                <w:szCs w:val="18"/>
              </w:rPr>
              <w:t>Artículo 7 – Uso y propiedad de activos</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F9" w14:textId="77777777" w:rsidR="00F05262" w:rsidRDefault="00904EFD">
            <w:r>
              <w:rPr>
                <w:sz w:val="18"/>
                <w:szCs w:val="18"/>
              </w:rPr>
              <w:t>Extensión del uso de los activos a usuarios de las Zonas No Interconectadas (ZNI).</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AFFA" w14:textId="77777777" w:rsidR="00F05262" w:rsidRDefault="00904EFD">
            <w:r>
              <w:rPr>
                <w:sz w:val="18"/>
                <w:szCs w:val="18"/>
              </w:rPr>
              <w:t>Se sugiere dar claridad frente a la aplicabilidad para las ZNI, dada la dinámica distinta del AOM en dichas zonas.</w:t>
            </w:r>
          </w:p>
        </w:tc>
      </w:tr>
      <w:tr w:rsidR="00F05262" w14:paraId="6DA3B000"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C" w14:textId="77777777" w:rsidR="00F05262" w:rsidRDefault="00904EFD">
            <w:r>
              <w:rPr>
                <w:b/>
                <w:bCs/>
                <w:sz w:val="18"/>
                <w:szCs w:val="18"/>
              </w:rPr>
              <w:lastRenderedPageBreak/>
              <w:t>9</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D" w14:textId="77777777" w:rsidR="00F05262" w:rsidRDefault="00904EFD">
            <w:r>
              <w:rPr>
                <w:b/>
                <w:bCs/>
                <w:sz w:val="18"/>
                <w:szCs w:val="18"/>
              </w:rPr>
              <w:t>Artículo 7 – Uso y propiedad de activos</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AFFE" w14:textId="77777777" w:rsidR="00F05262" w:rsidRDefault="00904EFD">
            <w:r>
              <w:rPr>
                <w:sz w:val="18"/>
                <w:szCs w:val="18"/>
              </w:rPr>
              <w:t>El Ministerio "podrá" transferir la propiedad de los activos al Agente Comercializador que obre como Contratista de AOM.</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302439E7" w14:textId="77777777" w:rsidR="006C15E0" w:rsidRDefault="00904EFD">
            <w:pPr>
              <w:rPr>
                <w:sz w:val="18"/>
                <w:szCs w:val="18"/>
              </w:rPr>
            </w:pPr>
            <w:r>
              <w:rPr>
                <w:sz w:val="18"/>
                <w:szCs w:val="18"/>
              </w:rPr>
              <w:t>Se recomienda que la transferencia de propiedad sea obligatoria ("deberá")</w:t>
            </w:r>
            <w:r>
              <w:rPr>
                <w:sz w:val="18"/>
                <w:szCs w:val="18"/>
              </w:rPr>
              <w:t xml:space="preserve">. </w:t>
            </w:r>
          </w:p>
          <w:p w14:paraId="18ABFF3F" w14:textId="77777777" w:rsidR="006C15E0" w:rsidRDefault="006C15E0">
            <w:pPr>
              <w:rPr>
                <w:sz w:val="18"/>
                <w:szCs w:val="18"/>
              </w:rPr>
            </w:pPr>
          </w:p>
          <w:p w14:paraId="6DA3AFFF" w14:textId="07B1BBC8" w:rsidR="00F05262" w:rsidRDefault="00904EFD">
            <w:r>
              <w:rPr>
                <w:sz w:val="18"/>
                <w:szCs w:val="18"/>
              </w:rPr>
              <w:t>Dado que se</w:t>
            </w:r>
            <w:r w:rsidR="006C15E0">
              <w:rPr>
                <w:sz w:val="18"/>
                <w:szCs w:val="18"/>
              </w:rPr>
              <w:t xml:space="preserve"> recomienda la transferencia de </w:t>
            </w:r>
            <w:r>
              <w:rPr>
                <w:sz w:val="18"/>
                <w:szCs w:val="18"/>
              </w:rPr>
              <w:t xml:space="preserve">la propiedad del activo, se sugiere valorar la no suscripción de Contrato de AOM entre el Ministerio y el Comercializador. </w:t>
            </w:r>
          </w:p>
        </w:tc>
      </w:tr>
      <w:tr w:rsidR="006C15E0" w14:paraId="5A791DE8"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43724835" w14:textId="2CDC9556" w:rsidR="006C15E0" w:rsidRDefault="006C15E0" w:rsidP="006C15E0">
            <w:pPr>
              <w:rPr>
                <w:b/>
                <w:bCs/>
                <w:sz w:val="18"/>
                <w:szCs w:val="18"/>
              </w:rPr>
            </w:pPr>
            <w:r>
              <w:rPr>
                <w:b/>
                <w:bCs/>
                <w:sz w:val="18"/>
                <w:szCs w:val="18"/>
              </w:rPr>
              <w:t>10</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1248F425" w14:textId="2559D6F7" w:rsidR="006C15E0" w:rsidRDefault="006C15E0" w:rsidP="006C15E0">
            <w:pPr>
              <w:rPr>
                <w:b/>
                <w:bCs/>
                <w:sz w:val="18"/>
                <w:szCs w:val="18"/>
              </w:rPr>
            </w:pPr>
            <w:r>
              <w:rPr>
                <w:b/>
                <w:bCs/>
                <w:sz w:val="18"/>
                <w:szCs w:val="18"/>
              </w:rPr>
              <w:t>Artículo 8.1 – AOM para el Año 1</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13CAEF95" w14:textId="02988997" w:rsidR="006C15E0" w:rsidRDefault="006C15E0" w:rsidP="006C15E0">
            <w:pPr>
              <w:rPr>
                <w:sz w:val="18"/>
                <w:szCs w:val="18"/>
              </w:rPr>
            </w:pPr>
            <w:r>
              <w:rPr>
                <w:i/>
                <w:iCs/>
                <w:sz w:val="17"/>
                <w:szCs w:val="17"/>
              </w:rPr>
              <w:t>"8.1. AOM para el Año 1: Durante el primer (1) año, contado a partir de la puesta en servicio de la solución, las actividades de AOM estarán a cargo del Contratista Derivado del proyecto, sin perjuicio de las garantías, pólizas y obligaciones contractuales aplicables. La remuneración asociada a dichas actividades se reconocerá de conformidad con lo establecido en el Contrato Derivado."</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B55ED2F" w14:textId="3B0B1AC5" w:rsidR="006C15E0" w:rsidRDefault="006C15E0" w:rsidP="006C15E0">
            <w:pPr>
              <w:rPr>
                <w:sz w:val="18"/>
                <w:szCs w:val="18"/>
              </w:rPr>
            </w:pPr>
            <w:r>
              <w:rPr>
                <w:sz w:val="18"/>
                <w:szCs w:val="18"/>
              </w:rPr>
              <w:t>Se sugiere aclarar el proceso de comercialización de la energía durante el primer año.</w:t>
            </w:r>
            <w:r w:rsidR="00477502">
              <w:rPr>
                <w:sz w:val="18"/>
                <w:szCs w:val="18"/>
              </w:rPr>
              <w:t xml:space="preserve"> Que rol tendrá el comercializador. </w:t>
            </w:r>
          </w:p>
        </w:tc>
      </w:tr>
      <w:tr w:rsidR="006C15E0" w14:paraId="3E84FAE0" w14:textId="77777777" w:rsidTr="006C15E0">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4DF652B0" w14:textId="146C36C1" w:rsidR="006C15E0" w:rsidRDefault="006C15E0" w:rsidP="006C15E0">
            <w:pPr>
              <w:rPr>
                <w:b/>
                <w:bCs/>
                <w:sz w:val="18"/>
                <w:szCs w:val="18"/>
              </w:rPr>
            </w:pPr>
            <w:r>
              <w:rPr>
                <w:b/>
                <w:bCs/>
                <w:sz w:val="18"/>
                <w:szCs w:val="18"/>
              </w:rPr>
              <w:t>11</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7DCEFF94" w14:textId="167D3BCB" w:rsidR="006C15E0" w:rsidRDefault="006C15E0" w:rsidP="006C15E0">
            <w:pPr>
              <w:rPr>
                <w:b/>
                <w:bCs/>
                <w:sz w:val="18"/>
                <w:szCs w:val="18"/>
              </w:rPr>
            </w:pPr>
            <w:r>
              <w:rPr>
                <w:b/>
                <w:bCs/>
                <w:sz w:val="18"/>
                <w:szCs w:val="18"/>
              </w:rPr>
              <w:t>Artículo 8.2 – AOM para los Años 2 a 25</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092FC236" w14:textId="5D6B9EA1" w:rsidR="006C15E0" w:rsidRDefault="006C15E0" w:rsidP="006C15E0">
            <w:pPr>
              <w:rPr>
                <w:sz w:val="18"/>
                <w:szCs w:val="18"/>
              </w:rPr>
            </w:pPr>
            <w:r>
              <w:rPr>
                <w:i/>
                <w:iCs/>
                <w:sz w:val="17"/>
                <w:szCs w:val="17"/>
              </w:rPr>
              <w:t>"8.2. AOM para los Años 2 a 25: A partir del segundo (2) año de AOM y hasta completar el horizonte de veinticinco (25) años, el Ministerio de Minas y Energía podrá transferir la propiedad de la infraestructura eléctrica al Agente Comercializador, para efectos de llevar a cabo las labores de AOM, en los términos de la presente Resolución."</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083A4565" w14:textId="04B1760F" w:rsidR="006C15E0" w:rsidRDefault="006C15E0" w:rsidP="006C15E0">
            <w:pPr>
              <w:rPr>
                <w:sz w:val="18"/>
                <w:szCs w:val="18"/>
              </w:rPr>
            </w:pPr>
            <w:r>
              <w:rPr>
                <w:sz w:val="18"/>
                <w:szCs w:val="18"/>
              </w:rPr>
              <w:t>Se recomienda ajustar el verbo "podrá" por "deberá".</w:t>
            </w:r>
          </w:p>
        </w:tc>
      </w:tr>
      <w:tr w:rsidR="00477502" w14:paraId="2F7890E9"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13B3B5F4" w14:textId="311ADEE0" w:rsidR="00477502" w:rsidRDefault="00477502" w:rsidP="00477502">
            <w:pPr>
              <w:rPr>
                <w:b/>
                <w:bCs/>
                <w:sz w:val="18"/>
                <w:szCs w:val="18"/>
              </w:rPr>
            </w:pPr>
            <w:r>
              <w:rPr>
                <w:b/>
                <w:bCs/>
                <w:sz w:val="18"/>
                <w:szCs w:val="18"/>
              </w:rPr>
              <w:t>13</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70580F61" w14:textId="6EE515EF" w:rsidR="00477502" w:rsidRDefault="00477502" w:rsidP="00477502">
            <w:pPr>
              <w:rPr>
                <w:b/>
                <w:bCs/>
                <w:sz w:val="18"/>
                <w:szCs w:val="18"/>
              </w:rPr>
            </w:pPr>
            <w:r>
              <w:rPr>
                <w:b/>
                <w:bCs/>
                <w:sz w:val="18"/>
                <w:szCs w:val="18"/>
              </w:rPr>
              <w:t>Artículo 8.3 – Remuneración de AOM (desagregación por componentes)</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7D52EFD9" w14:textId="65875481" w:rsidR="00477502" w:rsidRDefault="00477502" w:rsidP="00477502">
            <w:pPr>
              <w:rPr>
                <w:i/>
                <w:iCs/>
                <w:sz w:val="17"/>
                <w:szCs w:val="17"/>
              </w:rPr>
            </w:pPr>
            <w:r>
              <w:rPr>
                <w:i/>
                <w:iCs/>
                <w:sz w:val="17"/>
                <w:szCs w:val="17"/>
              </w:rPr>
              <w:t>"La estructura de remuneración de AOM deberá desagregarse por los componentes de Administración, Operación y Mantenimiento, incluyendo los costos asociados a pólizas por cada componente, el arrendamiento del predio cuando aplique, y demás actividades asociadas a la sostenibilidad de los proyectos."</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71C86286" w14:textId="13C1BB3F" w:rsidR="00477502" w:rsidRDefault="00477502" w:rsidP="00477502">
            <w:pPr>
              <w:rPr>
                <w:sz w:val="18"/>
                <w:szCs w:val="18"/>
              </w:rPr>
            </w:pPr>
            <w:r>
              <w:rPr>
                <w:sz w:val="18"/>
                <w:szCs w:val="18"/>
              </w:rPr>
              <w:t>Se sugiere dejar explícito, en este numeral o en la definición de AOM, que dichas actividades incluyen la reposición de infraestructura.</w:t>
            </w:r>
          </w:p>
        </w:tc>
      </w:tr>
      <w:tr w:rsidR="00477502" w14:paraId="6DA3B005" w14:textId="77777777" w:rsidTr="00477502">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01" w14:textId="270AE2AF" w:rsidR="00477502" w:rsidRDefault="00477502" w:rsidP="00477502">
            <w:r>
              <w:rPr>
                <w:b/>
                <w:bCs/>
                <w:sz w:val="18"/>
                <w:szCs w:val="18"/>
              </w:rPr>
              <w:t>12</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02" w14:textId="67A7271E" w:rsidR="00477502" w:rsidRDefault="00477502" w:rsidP="00477502">
            <w:r>
              <w:rPr>
                <w:b/>
                <w:bCs/>
                <w:sz w:val="18"/>
                <w:szCs w:val="18"/>
              </w:rPr>
              <w:t>Artículo 8.3 – Remuneración de AOM (mecanismo de compensación energética)</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03" w14:textId="1294980C" w:rsidR="00477502" w:rsidRDefault="00477502" w:rsidP="00477502">
            <w:r>
              <w:rPr>
                <w:i/>
                <w:iCs/>
                <w:sz w:val="17"/>
                <w:szCs w:val="17"/>
              </w:rPr>
              <w:t>"La remuneración asociada a las actividades de AOM de las soluciones fotovoltaicas implementadas en el marco del Programa podrá estructurarse, según el esquema contractual y financiero pactado en el Contrato de AOM, y se implementará a través de un mecanismo de compensación energética, en virtud del cual el pago se realiza a través de un porcentaje de la energía eléctrica efectivamente generada por la solución fotovoltaica, conforme a lo dispuesto en la presente resolución en materia de medición, liquidación y facturación."</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04" w14:textId="6999B848" w:rsidR="00477502" w:rsidRDefault="00477502" w:rsidP="00477502">
            <w:r>
              <w:rPr>
                <w:sz w:val="18"/>
                <w:szCs w:val="18"/>
              </w:rPr>
              <w:t>Conforme al artículo 87 de la Ley 142 de 1994, la prestación del servicio debe garantizar suficiencia financiera y sostenibilidad, siendo la CREG la entidad competente para regular la remuneración en el mercado regulado. Asimismo, una vez superado el consumo subsidiable existirían transacciones de energía entre el Comercializador y un usuario regulado, por lo que no se trataría de un esquema puramente de autogeneración. Se sugiere aclarar el mecanismo de reposición de activos dentro de la remuneración del AOM.</w:t>
            </w:r>
          </w:p>
        </w:tc>
      </w:tr>
      <w:tr w:rsidR="00477502" w14:paraId="6DA3B00F"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0B" w14:textId="7F85DF8F" w:rsidR="00477502" w:rsidRDefault="00477502" w:rsidP="00477502">
            <w:r>
              <w:rPr>
                <w:b/>
                <w:bCs/>
                <w:sz w:val="18"/>
                <w:szCs w:val="18"/>
              </w:rPr>
              <w:t>14</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0C" w14:textId="4DDE5D12" w:rsidR="00477502" w:rsidRDefault="00477502" w:rsidP="00477502">
            <w:r>
              <w:rPr>
                <w:b/>
                <w:bCs/>
                <w:sz w:val="18"/>
                <w:szCs w:val="18"/>
              </w:rPr>
              <w:t>Artículo 8.3 – Parágrafo (cargos por uso)</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0D" w14:textId="66A55992" w:rsidR="00477502" w:rsidRDefault="00477502" w:rsidP="00477502">
            <w:r>
              <w:rPr>
                <w:i/>
                <w:iCs/>
                <w:sz w:val="17"/>
                <w:szCs w:val="17"/>
              </w:rPr>
              <w:t xml:space="preserve">"Parágrafo: Para los efectos de este AOM, en ningún caso las actividades que lo integran tendrán reconocimiento vía cargos por uso, en la medida en que la infraestructura eléctrica construida o adquirida no corresponde a activos de prestación del servicio público domiciliario de energía eléctrica y su remuneración corresponderá exclusivamente a la compensación por energía que se pacte dentro de los respectivos contratos o instrumentos jurídicos que rijan las </w:t>
            </w:r>
            <w:r>
              <w:rPr>
                <w:i/>
                <w:iCs/>
                <w:sz w:val="17"/>
                <w:szCs w:val="17"/>
              </w:rPr>
              <w:lastRenderedPageBreak/>
              <w:t>relaciones entre el MME y el respectivo operador de AOM."</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0E" w14:textId="706A34AA" w:rsidR="00477502" w:rsidRDefault="00477502" w:rsidP="00477502">
            <w:r>
              <w:rPr>
                <w:sz w:val="18"/>
                <w:szCs w:val="18"/>
              </w:rPr>
              <w:lastRenderedPageBreak/>
              <w:t>Se sugiere aclarar por qué la infraestructura del sistema fotovoltaico no se consideraría un activo de prestación del servicio, considerando que el Comercializador prestaría el servicio a través de estos sistemas, además de percibir la compensación correspondiente.</w:t>
            </w:r>
          </w:p>
        </w:tc>
      </w:tr>
      <w:tr w:rsidR="00477502" w14:paraId="6DA3B014"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0" w14:textId="35735CE9" w:rsidR="00477502" w:rsidRDefault="00477502" w:rsidP="00477502">
            <w:r>
              <w:rPr>
                <w:b/>
                <w:bCs/>
                <w:sz w:val="18"/>
                <w:szCs w:val="18"/>
              </w:rPr>
              <w:t>15</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1" w14:textId="25C039ED" w:rsidR="00477502" w:rsidRDefault="00477502" w:rsidP="00477502">
            <w:r>
              <w:rPr>
                <w:b/>
                <w:bCs/>
                <w:sz w:val="18"/>
                <w:szCs w:val="18"/>
              </w:rPr>
              <w:t>Artículo 8.4 – Plan de sostenibilidad de AOM</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2" w14:textId="5A7B066C" w:rsidR="00477502" w:rsidRDefault="00477502" w:rsidP="00477502">
            <w:r>
              <w:rPr>
                <w:i/>
                <w:iCs/>
                <w:sz w:val="17"/>
                <w:szCs w:val="17"/>
              </w:rPr>
              <w:t>"8.4. Plan de sostenibilidad de AOM: Como parte integral de la remuneración de las actividades de AOM, el Comercializador deberá presentar al Ministerio de Minas y Energía un esquema operativo que presente un Plan de Administración, Operación y Mantenimiento (Plan AOM). Dicho plan deberá detallar, como mínimo: las actividades a ejecutar por cada componente, el personal requerido por perfiles, dedicación y competencias, los insumos, herramientas y materiales necesarios para el mantenimiento preventivo y correctivo, la periodicidad y cronograma de ejecución, los procedimientos operativos y de seguridad, los indicadores de desempeño y mecanismos de verificación, y los demás criterios técnicos necesarios para garantizar la ejecución eficiente, segura y con estándares de calidad de cada actividad, todo lo cual deberá ser incorporado en el correspondiente Contrato de AOM."</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3" w14:textId="3CB24875" w:rsidR="00477502" w:rsidRDefault="00477502" w:rsidP="00477502">
            <w:r>
              <w:rPr>
                <w:sz w:val="18"/>
                <w:szCs w:val="18"/>
              </w:rPr>
              <w:t>Se recomienda valorar la eliminación de este numeral, de manera consistente con la sugerencia de no suscribir Contrato de AOM con el Ministerio.</w:t>
            </w:r>
          </w:p>
        </w:tc>
      </w:tr>
      <w:tr w:rsidR="00477502" w14:paraId="6DA3B019"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15" w14:textId="1E928793" w:rsidR="00477502" w:rsidRDefault="00477502" w:rsidP="00477502">
            <w:r>
              <w:rPr>
                <w:b/>
                <w:bCs/>
                <w:sz w:val="18"/>
                <w:szCs w:val="18"/>
              </w:rPr>
              <w:t>16</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16" w14:textId="7667C86C" w:rsidR="00477502" w:rsidRDefault="00477502" w:rsidP="00477502">
            <w:r>
              <w:rPr>
                <w:b/>
                <w:bCs/>
                <w:sz w:val="18"/>
                <w:szCs w:val="18"/>
              </w:rPr>
              <w:t>Artículo 8.5 – Alcance mínimo del componente de Administración</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17" w14:textId="0680D604" w:rsidR="00477502" w:rsidRDefault="00477502" w:rsidP="00477502">
            <w:r>
              <w:rPr>
                <w:i/>
                <w:iCs/>
                <w:sz w:val="17"/>
                <w:szCs w:val="17"/>
              </w:rPr>
              <w:t>"8.5. Alcance mínimo del componente de Administración: El componente de administración deberá contemplar, como mínimo, las actividades orientadas a asegurar la gestión integral del activo y la sostenibilidad del proyecto durante la vigencia de Contrato de AOM, este componente incluirá como mínimo lo siguiente: (8.5.1) la gestión de inventarios y trazabilidad de todos los equipos; (8.5.2) la custodia y actualización de la documentación técnica, contractual y de garantías; (8.5.3) la programación y control del Plan Anual de AOM; (8.5.4) el recaudo y la gestión destinados a la reposición de inversores; (8.5.5) la gestión de garantías o pólizas; (8.5.6) la gestión de riesgos operativos, ambientales y de seguridad y salud en el trabajo; y (8.5.7) la gestión de reportes e información requerida por el Ministerio de Minas y Energía y las autoridades competentes."</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18" w14:textId="179F17D2" w:rsidR="00477502" w:rsidRDefault="00477502" w:rsidP="00477502">
            <w:r>
              <w:rPr>
                <w:sz w:val="18"/>
                <w:szCs w:val="18"/>
              </w:rPr>
              <w:t>Se recomienda valorar su eliminación, de manera consistente con la observación de fondo sobre el Contrato de AOM con el Ministerio.</w:t>
            </w:r>
          </w:p>
        </w:tc>
      </w:tr>
      <w:tr w:rsidR="00477502" w14:paraId="6DA3B01E"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A" w14:textId="4D6187E3" w:rsidR="00477502" w:rsidRDefault="00477502" w:rsidP="00477502">
            <w:r>
              <w:rPr>
                <w:b/>
                <w:bCs/>
                <w:sz w:val="18"/>
                <w:szCs w:val="18"/>
              </w:rPr>
              <w:t>17</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B" w14:textId="31A6FCF0" w:rsidR="00477502" w:rsidRDefault="00477502" w:rsidP="00477502">
            <w:r>
              <w:rPr>
                <w:b/>
                <w:bCs/>
                <w:sz w:val="18"/>
                <w:szCs w:val="18"/>
              </w:rPr>
              <w:t>Artículo 8.6 – Alcance mínimo del componente de Operación</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C" w14:textId="6E42451F" w:rsidR="00477502" w:rsidRDefault="00477502" w:rsidP="00477502">
            <w:r>
              <w:rPr>
                <w:i/>
                <w:iCs/>
                <w:sz w:val="17"/>
                <w:szCs w:val="17"/>
              </w:rPr>
              <w:t xml:space="preserve">"8.6. Alcance mínimo del componente de Operación: El componente de operación deberá contemplar, como mínimo, las actividades necesarias para asegurar el funcionamiento continuo, seguro y eficiente de la solución fotovoltaica y su interacción con la red eléctrica del Sistema Interconectado Nacional (SIN). Este componente deberá incluir como mínimo: (8.6.1) el seguimiento del desempeño del sistema mediante medición y/o monitoreo de variables operativas, energía generada, disponibilidad y eventos de interrupción; (8.6.2) la verificación periódica del estado operativo del sistema de generación, </w:t>
            </w:r>
            <w:r>
              <w:rPr>
                <w:i/>
                <w:iCs/>
                <w:sz w:val="17"/>
                <w:szCs w:val="17"/>
              </w:rPr>
              <w:lastRenderedPageBreak/>
              <w:t>inversores, protecciones eléctricas y sistemas de medición; (8.6.3) la gestión operativa de la energía conforme al diseño del proyecto y a los protocolos del operador de red; y (8.6.4) la gestión de incidentes y contingencias, incluyendo la coordinación de maniobras y acciones correctivas."</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1D" w14:textId="7F62B077" w:rsidR="00477502" w:rsidRDefault="00477502" w:rsidP="00477502">
            <w:r>
              <w:rPr>
                <w:sz w:val="18"/>
                <w:szCs w:val="18"/>
              </w:rPr>
              <w:lastRenderedPageBreak/>
              <w:t>Se sugiere la misma consideración del numeral anterior.</w:t>
            </w:r>
          </w:p>
        </w:tc>
      </w:tr>
      <w:tr w:rsidR="00477502" w14:paraId="6DA3B023"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1F" w14:textId="0818CF54" w:rsidR="00477502" w:rsidRDefault="00477502" w:rsidP="00477502">
            <w:r>
              <w:rPr>
                <w:b/>
                <w:bCs/>
                <w:sz w:val="18"/>
                <w:szCs w:val="18"/>
              </w:rPr>
              <w:t>18</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0" w14:textId="3AD67400" w:rsidR="00477502" w:rsidRDefault="00477502" w:rsidP="00477502">
            <w:r>
              <w:rPr>
                <w:b/>
                <w:bCs/>
                <w:sz w:val="18"/>
                <w:szCs w:val="18"/>
              </w:rPr>
              <w:t>Artículo 8.7 – Alcance mínimo del componente de Mantenimiento</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1" w14:textId="502CFD77" w:rsidR="00477502" w:rsidRDefault="00477502" w:rsidP="00477502">
            <w:r>
              <w:rPr>
                <w:i/>
                <w:iCs/>
                <w:sz w:val="17"/>
                <w:szCs w:val="17"/>
              </w:rPr>
              <w:t xml:space="preserve">"8.7. Alcance mínimo del componente de mantenimiento: El componente de mantenimiento deberá contemplar, como mínimo, actividades de mantenimiento preventivo, mantenimiento correctivo y, cuando aplique, reposiciones programadas de activos: (8.7.1) Mantenimiento preventivo, que comprende las actividades planificadas para conservar la capacidad operativa, la seguridad y el desempeño del sistema; (8.7.2) Mantenimiento correctivo, destinado a diagnosticar y corregir fallas que afecten la disponibilidad, la seguridad o el desempeño del sistema; y (8.7.3) Reposiciones de inversores </w:t>
            </w:r>
            <w:proofErr w:type="spellStart"/>
            <w:r>
              <w:rPr>
                <w:i/>
                <w:iCs/>
                <w:sz w:val="17"/>
                <w:szCs w:val="17"/>
              </w:rPr>
              <w:t>On-Grid</w:t>
            </w:r>
            <w:proofErr w:type="spellEnd"/>
            <w:r>
              <w:rPr>
                <w:i/>
                <w:iCs/>
                <w:sz w:val="17"/>
                <w:szCs w:val="17"/>
              </w:rPr>
              <w:t xml:space="preserve"> DC/AC, conforme a la vida útil definida por el fabricante en la ficha técnica y a las condiciones reales de operación del proyecto."</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2" w14:textId="6904936C" w:rsidR="00477502" w:rsidRDefault="00477502" w:rsidP="00477502">
            <w:r>
              <w:rPr>
                <w:sz w:val="18"/>
                <w:szCs w:val="18"/>
              </w:rPr>
              <w:t>Se sugiere la misma consideración de los numerales anteriores.</w:t>
            </w:r>
          </w:p>
        </w:tc>
      </w:tr>
      <w:tr w:rsidR="00477502" w14:paraId="6DA3B028"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24" w14:textId="6F98843A" w:rsidR="00477502" w:rsidRDefault="00477502" w:rsidP="00477502">
            <w:r>
              <w:rPr>
                <w:b/>
                <w:bCs/>
                <w:sz w:val="18"/>
                <w:szCs w:val="18"/>
              </w:rPr>
              <w:t>19</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25" w14:textId="491597C9" w:rsidR="00477502" w:rsidRDefault="00477502" w:rsidP="00477502">
            <w:r>
              <w:rPr>
                <w:b/>
                <w:bCs/>
                <w:sz w:val="18"/>
                <w:szCs w:val="18"/>
              </w:rPr>
              <w:t>Artículo 8.9 – Definición del porcentaje y valores finales</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26" w14:textId="5C6CD774" w:rsidR="00477502" w:rsidRDefault="00477502" w:rsidP="00477502">
            <w:r>
              <w:rPr>
                <w:i/>
                <w:iCs/>
                <w:sz w:val="17"/>
                <w:szCs w:val="17"/>
              </w:rPr>
              <w:t>"8.9. Definición del porcentaje y valores finales. El porcentaje de remuneración y los valores finales aplicables a la AOM deberán ser acordados y definidos entre el Ministerio de Minas y Energía y el comercializador encargado de las actividades de AOM atendiendo las condiciones técnicas del proyecto, su contexto territorial y el Plan de sostenibilidad del AOM que detalla el punto 8.4., estos quedarán incorporados en el instrumento contractual."</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27" w14:textId="56926A63" w:rsidR="00477502" w:rsidRDefault="00477502" w:rsidP="00477502">
            <w:r>
              <w:rPr>
                <w:sz w:val="18"/>
                <w:szCs w:val="18"/>
              </w:rPr>
              <w:t>Se remite a la observación relacionada con el artículo 87 de la Ley 142 de 1994, en cuanto a la competencia de la CREG para regular la remuneración en el mercado regulado.</w:t>
            </w:r>
          </w:p>
        </w:tc>
      </w:tr>
      <w:tr w:rsidR="00477502" w14:paraId="6DA3B02D"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9" w14:textId="4A082B5C" w:rsidR="00477502" w:rsidRDefault="00477502" w:rsidP="00477502">
            <w:r>
              <w:rPr>
                <w:b/>
                <w:bCs/>
                <w:sz w:val="18"/>
                <w:szCs w:val="18"/>
              </w:rPr>
              <w:t>20</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A" w14:textId="367448A1" w:rsidR="00477502" w:rsidRDefault="00477502" w:rsidP="00477502">
            <w:r>
              <w:rPr>
                <w:b/>
                <w:bCs/>
                <w:sz w:val="18"/>
                <w:szCs w:val="18"/>
              </w:rPr>
              <w:t>Artículo 8.10 – Seguimiento al AOM</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B" w14:textId="26132B05" w:rsidR="00477502" w:rsidRDefault="00477502" w:rsidP="00477502">
            <w:r>
              <w:rPr>
                <w:i/>
                <w:iCs/>
                <w:sz w:val="17"/>
                <w:szCs w:val="17"/>
              </w:rPr>
              <w:t>"8.10. Seguimiento al AOM. El comercializador encargado de realizar las actividades de AOM deberá remitir al Ministerio de forma anual, o cuando este lo requiera, un informe que contenga como mínimo: 1. Actividades ejecutadas de AOM. 2. Personal asociado a cada labor. 3. Reposiciones, garantías o pólizas asociadas a cambios de equipos. 4. Análisis de generación y desempeño de la solución fotovoltaica. 5. Eventos de indisponibilidad y atención de fallas. 6. Relación del recaudo para la reposición de inversores. 7. Atención a PQRSF."</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2C" w14:textId="4866332F" w:rsidR="00477502" w:rsidRDefault="00477502" w:rsidP="00477502">
            <w:r>
              <w:rPr>
                <w:sz w:val="18"/>
                <w:szCs w:val="18"/>
              </w:rPr>
              <w:t>Se recomienda valorar su eliminación, en línea con la propuesta de no incorporar la figura de Contrato de AOM con el Ministerio.</w:t>
            </w:r>
          </w:p>
        </w:tc>
      </w:tr>
      <w:tr w:rsidR="00477502" w14:paraId="6DA3B032"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2E" w14:textId="13C68026" w:rsidR="00477502" w:rsidRDefault="00477502" w:rsidP="00477502">
            <w:r>
              <w:rPr>
                <w:b/>
                <w:bCs/>
                <w:sz w:val="18"/>
                <w:szCs w:val="18"/>
              </w:rPr>
              <w:t>21</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2F" w14:textId="412EDEC3" w:rsidR="00477502" w:rsidRDefault="00477502" w:rsidP="00477502">
            <w:r>
              <w:rPr>
                <w:b/>
                <w:bCs/>
                <w:sz w:val="18"/>
                <w:szCs w:val="18"/>
              </w:rPr>
              <w:t>Artículo 8 – Parágrafo 5º</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30" w14:textId="3E24B814" w:rsidR="00477502" w:rsidRDefault="00477502" w:rsidP="00477502">
            <w:r>
              <w:rPr>
                <w:i/>
                <w:iCs/>
                <w:sz w:val="17"/>
                <w:szCs w:val="17"/>
              </w:rPr>
              <w:t xml:space="preserve">"PARÁGRAFO 5o. Las partes en el Contrato de AOM deberán incorporar en dicho instrumento jurídico, un esquema financiero y operacional que garantice la sostenibilidad a partir de la remuneración de los gastos asociados a la Administración, Operación y Mantenimiento – AOM. Para los sistemas solares fotovoltaicos individuales sin almacenamiento se deberá considerar el </w:t>
            </w:r>
            <w:r>
              <w:rPr>
                <w:i/>
                <w:iCs/>
                <w:sz w:val="17"/>
                <w:szCs w:val="17"/>
              </w:rPr>
              <w:lastRenderedPageBreak/>
              <w:t xml:space="preserve">esquema de sostenibilidad propuesto en el Anexo 1 de la presente Resolución. Para los sistemas solares centralizados sin almacenamiento el Ministerio de Minas y Energía desarrollará y expedirá el acto administrativo con el esquema de sostenibilidad que corresponda. En cualquier caso, las partes en el contrato de AOM deberán revisar conjuntamente el esquema de sostenibilidad incorporado en dicho contrato, con una periodicidad anual, para garantizar que se mantengan las condiciones que viabilizan los objetivos del programa y la permanencia </w:t>
            </w:r>
            <w:proofErr w:type="gramStart"/>
            <w:r>
              <w:rPr>
                <w:i/>
                <w:iCs/>
                <w:sz w:val="17"/>
                <w:szCs w:val="17"/>
              </w:rPr>
              <w:t>del mismo</w:t>
            </w:r>
            <w:proofErr w:type="gramEnd"/>
            <w:r>
              <w:rPr>
                <w:i/>
                <w:iCs/>
                <w:sz w:val="17"/>
                <w:szCs w:val="17"/>
              </w:rPr>
              <w:t>."</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31" w14:textId="21B6BDEB" w:rsidR="00477502" w:rsidRDefault="00477502" w:rsidP="00477502">
            <w:r>
              <w:rPr>
                <w:sz w:val="18"/>
                <w:szCs w:val="18"/>
              </w:rPr>
              <w:lastRenderedPageBreak/>
              <w:t>Se remite a la observación relacionada con el artículo 87 de la Ley 142 de 1994 y la competencia de la CREG.</w:t>
            </w:r>
          </w:p>
        </w:tc>
      </w:tr>
      <w:tr w:rsidR="00477502" w14:paraId="6DA3B037"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3" w14:textId="7AA0B45D" w:rsidR="00477502" w:rsidRDefault="00477502" w:rsidP="00477502">
            <w:r>
              <w:rPr>
                <w:b/>
                <w:bCs/>
                <w:sz w:val="18"/>
                <w:szCs w:val="18"/>
              </w:rPr>
              <w:t>22</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4" w14:textId="02344561" w:rsidR="00477502" w:rsidRDefault="00477502" w:rsidP="00477502">
            <w:r>
              <w:rPr>
                <w:b/>
                <w:bCs/>
                <w:sz w:val="18"/>
                <w:szCs w:val="18"/>
              </w:rPr>
              <w:t>Artículo 8 – Parágrafo 6º</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5" w14:textId="2A565BCD" w:rsidR="00477502" w:rsidRDefault="00477502" w:rsidP="00477502">
            <w:r>
              <w:rPr>
                <w:i/>
                <w:iCs/>
                <w:sz w:val="17"/>
                <w:szCs w:val="17"/>
              </w:rPr>
              <w:t>"PARÁGRAFO 6o. Para efectos de la sostenibilidad técnica del Programa, se adopta como horizonte de vida útil de las soluciones fotovoltaicas a un periodo de veinticinco (25) años, contados a partir de la fecha de entrada en servicio."</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6" w14:textId="4E0C9ED7" w:rsidR="00477502" w:rsidRDefault="00477502" w:rsidP="00477502">
            <w:r>
              <w:rPr>
                <w:sz w:val="18"/>
                <w:szCs w:val="18"/>
              </w:rPr>
              <w:t>Se sugiere tomar como referencia la Resolución CREG 101 026 de 2022, con vida útil regulatoria diferenciada por elemento del sistema.</w:t>
            </w:r>
          </w:p>
        </w:tc>
      </w:tr>
      <w:tr w:rsidR="00477502" w14:paraId="6DA3B03C"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38" w14:textId="55368701" w:rsidR="00477502" w:rsidRDefault="00477502" w:rsidP="00477502">
            <w:r>
              <w:rPr>
                <w:b/>
                <w:bCs/>
                <w:sz w:val="18"/>
                <w:szCs w:val="18"/>
              </w:rPr>
              <w:t>23</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39" w14:textId="27E61698" w:rsidR="00477502" w:rsidRDefault="00477502" w:rsidP="00477502">
            <w:r>
              <w:rPr>
                <w:b/>
                <w:bCs/>
                <w:sz w:val="18"/>
                <w:szCs w:val="18"/>
              </w:rPr>
              <w:t>Artículo 9.5 – Liquidación económica del beneficio</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3A" w14:textId="40FD87E8" w:rsidR="00477502" w:rsidRDefault="00477502" w:rsidP="00477502">
            <w:r>
              <w:rPr>
                <w:i/>
                <w:iCs/>
                <w:sz w:val="17"/>
                <w:szCs w:val="17"/>
              </w:rPr>
              <w:t>"9.5. Liquidación económica del beneficio y de la energía generada. Se deben considerar los siguientes lineamientos: a. Energía amparada por el Programa. b. Energía no cubierta por el porcentaje de beneficio del programa. c. Energía no amparada por el programa superior al consumo básico de subsistencia. d. Energía tomada de la red."</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3B" w14:textId="59539C15" w:rsidR="00477502" w:rsidRDefault="00477502" w:rsidP="00477502">
            <w:r>
              <w:rPr>
                <w:sz w:val="18"/>
                <w:szCs w:val="18"/>
              </w:rPr>
              <w:t>Se remite a la observación relacionada con el artículo 87 de la Ley 142 de 1994.</w:t>
            </w:r>
          </w:p>
        </w:tc>
      </w:tr>
      <w:tr w:rsidR="00477502" w14:paraId="6DA3B041"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D" w14:textId="7797B26F" w:rsidR="00477502" w:rsidRDefault="00477502" w:rsidP="00477502">
            <w:r>
              <w:rPr>
                <w:b/>
                <w:bCs/>
                <w:sz w:val="18"/>
                <w:szCs w:val="18"/>
              </w:rPr>
              <w:t>24</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E" w14:textId="11A5403E" w:rsidR="00477502" w:rsidRDefault="00477502" w:rsidP="00477502">
            <w:r>
              <w:rPr>
                <w:b/>
                <w:bCs/>
                <w:sz w:val="18"/>
                <w:szCs w:val="18"/>
              </w:rPr>
              <w:t>Artículo 9.6.1 – Sostenibilidad en el tiempo</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3F" w14:textId="0B9E3E01" w:rsidR="00477502" w:rsidRDefault="00477502" w:rsidP="00477502">
            <w:r>
              <w:rPr>
                <w:i/>
                <w:iCs/>
                <w:sz w:val="17"/>
                <w:szCs w:val="17"/>
              </w:rPr>
              <w:t>"9.6.1. Se evaluarán los mecanismos para verificar anualmente la continuidad del beneficio económico para los usuarios, considerando la degradación del sistema solar y la variabilidad del recurso."</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40" w14:textId="50BD57AC" w:rsidR="00477502" w:rsidRDefault="00477502" w:rsidP="00477502">
            <w:r>
              <w:rPr>
                <w:sz w:val="18"/>
                <w:szCs w:val="18"/>
              </w:rPr>
              <w:t>Se remite a la observación relacionada con el artículo 87 de la Ley 142 de 1994.</w:t>
            </w:r>
          </w:p>
        </w:tc>
      </w:tr>
      <w:tr w:rsidR="00477502" w14:paraId="6DA3B046"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2" w14:textId="0AD93AE1" w:rsidR="00477502" w:rsidRDefault="00477502" w:rsidP="00477502">
            <w:r>
              <w:rPr>
                <w:b/>
                <w:bCs/>
                <w:sz w:val="18"/>
                <w:szCs w:val="18"/>
              </w:rPr>
              <w:t>25</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3" w14:textId="4AB4719A" w:rsidR="00477502" w:rsidRDefault="00477502" w:rsidP="00477502">
            <w:r>
              <w:rPr>
                <w:b/>
                <w:bCs/>
                <w:sz w:val="18"/>
                <w:szCs w:val="18"/>
              </w:rPr>
              <w:t>Artículo 11 – Revisión metodología de conciliaciones trimestrales (FSSRI)</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4" w14:textId="0776ECB4" w:rsidR="00477502" w:rsidRDefault="00477502" w:rsidP="00477502">
            <w:r>
              <w:rPr>
                <w:i/>
                <w:iCs/>
                <w:sz w:val="17"/>
                <w:szCs w:val="17"/>
              </w:rPr>
              <w:t>"ARTÍCULO 11. REVISIÓN METODOLOGÍA PARA LA PRESENTACIÓN DE LAS CONCILIACIONES TRIMESTRALES DE LAS CUENTAS DE SUBSIDIOS EN EL SIN. El Ministerio de Minas y Energía como administrador del Fondo de Solidaridad para Subsidios y Redistribución de Ingresos (FSSRI) deberá revisar y, de ser necesario, ajustar la metodología establecida para el reporte trimestral de las conciliaciones de las cuentas de subsidios y contribuciones que deben hacer las empresas prestadoras del servicio público domiciliario de energía eléctrica en el Sistema Interconectado Nacional (SIN), teniendo en cuenta el impacto del Programa Colombia Solar sobre los usuarios de estrato 1, 2 y 3."</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5" w14:textId="78635B00" w:rsidR="00477502" w:rsidRDefault="00477502" w:rsidP="00477502">
            <w:r>
              <w:rPr>
                <w:sz w:val="18"/>
                <w:szCs w:val="18"/>
              </w:rPr>
              <w:t>Se sugiere confirmar si este ajuste ya fue coordinado con el grupo de subsidios.</w:t>
            </w:r>
          </w:p>
        </w:tc>
      </w:tr>
      <w:tr w:rsidR="00477502" w14:paraId="6DA3B04B"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47" w14:textId="16A71640" w:rsidR="00477502" w:rsidRDefault="00477502" w:rsidP="00477502">
            <w:r>
              <w:rPr>
                <w:b/>
                <w:bCs/>
                <w:sz w:val="18"/>
                <w:szCs w:val="18"/>
              </w:rPr>
              <w:t>26</w:t>
            </w:r>
          </w:p>
        </w:tc>
        <w:tc>
          <w:tcPr>
            <w:tcW w:w="24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48" w14:textId="230D437C" w:rsidR="00477502" w:rsidRDefault="00477502" w:rsidP="00477502">
            <w:r>
              <w:rPr>
                <w:b/>
                <w:bCs/>
                <w:sz w:val="18"/>
                <w:szCs w:val="18"/>
              </w:rPr>
              <w:t>Artículo 12 – Revisión lineamientos para el cargue de información al SUI</w:t>
            </w:r>
          </w:p>
        </w:tc>
        <w:tc>
          <w:tcPr>
            <w:tcW w:w="33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49" w14:textId="4EE2A24B" w:rsidR="00477502" w:rsidRDefault="00477502" w:rsidP="00477502">
            <w:r>
              <w:rPr>
                <w:i/>
                <w:iCs/>
                <w:sz w:val="17"/>
                <w:szCs w:val="17"/>
              </w:rPr>
              <w:t xml:space="preserve">"ARTÍCULO 12. REVISIÓN LINEAMIENTOS PARA EL CARGUE DE INFORMACIÓN AL SUI. La Superintendencia de Servicios Públicos Domiciliarios (SSPD) como parte de las funciones asignadas en el artículo 14 de la Ley 689 de 2001 sobre establecer, administrar, mantener y operar el Sistema Único de Información (SUI), revisará y formulará los lineamientos que considere </w:t>
            </w:r>
            <w:r>
              <w:rPr>
                <w:i/>
                <w:iCs/>
                <w:sz w:val="17"/>
                <w:szCs w:val="17"/>
              </w:rPr>
              <w:lastRenderedPageBreak/>
              <w:t>necesarios para el cargue de información que deben reportar los prestadores del servicio de energía eléctrica del Sistema Interconectado Nacional (SIN), teniendo en cuenta el impacto del Programa Colombia Solar sobre los usuarios de estrato 1, 2 y 3; además del ejercicio de sus funciones de inspección, vigilancia y control para el Programa Colombia Solar en el marco de sus competencias legales."</w:t>
            </w:r>
          </w:p>
        </w:tc>
        <w:tc>
          <w:tcPr>
            <w:tcW w:w="3600" w:type="dxa"/>
            <w:tcBorders>
              <w:top w:val="single" w:sz="4" w:space="0" w:color="B7C3D9"/>
              <w:left w:val="single" w:sz="4" w:space="0" w:color="B7C3D9"/>
              <w:bottom w:val="single" w:sz="4" w:space="0" w:color="B7C3D9"/>
              <w:right w:val="single" w:sz="4" w:space="0" w:color="B7C3D9"/>
            </w:tcBorders>
            <w:shd w:val="clear" w:color="auto" w:fill="D9E2F3"/>
            <w:tcMar>
              <w:top w:w="80" w:type="dxa"/>
              <w:left w:w="100" w:type="dxa"/>
              <w:bottom w:w="80" w:type="dxa"/>
              <w:right w:w="100" w:type="dxa"/>
            </w:tcMar>
          </w:tcPr>
          <w:p w14:paraId="6DA3B04A" w14:textId="67790490" w:rsidR="00477502" w:rsidRDefault="00477502" w:rsidP="00477502">
            <w:r>
              <w:rPr>
                <w:sz w:val="18"/>
                <w:szCs w:val="18"/>
              </w:rPr>
              <w:lastRenderedPageBreak/>
              <w:t>Se sugiere confirmar si este ajuste ya fue coordinado con la SSPD.</w:t>
            </w:r>
          </w:p>
        </w:tc>
      </w:tr>
      <w:tr w:rsidR="00477502" w14:paraId="6DA3B050" w14:textId="77777777">
        <w:tblPrEx>
          <w:tblCellMar>
            <w:top w:w="0" w:type="dxa"/>
            <w:bottom w:w="0" w:type="dxa"/>
          </w:tblCellMar>
        </w:tblPrEx>
        <w:tc>
          <w:tcPr>
            <w:tcW w:w="5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C" w14:textId="28B1090B" w:rsidR="00477502" w:rsidRDefault="00477502" w:rsidP="00477502">
            <w:r>
              <w:rPr>
                <w:b/>
                <w:bCs/>
                <w:sz w:val="18"/>
                <w:szCs w:val="18"/>
              </w:rPr>
              <w:t>27</w:t>
            </w:r>
          </w:p>
        </w:tc>
        <w:tc>
          <w:tcPr>
            <w:tcW w:w="24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D" w14:textId="2AB4A0B9" w:rsidR="00477502" w:rsidRDefault="00477502" w:rsidP="00477502">
            <w:r>
              <w:rPr>
                <w:b/>
                <w:bCs/>
                <w:sz w:val="18"/>
                <w:szCs w:val="18"/>
              </w:rPr>
              <w:t>Artículo 13 – Gestión y disposición final de residuos</w:t>
            </w:r>
          </w:p>
        </w:tc>
        <w:tc>
          <w:tcPr>
            <w:tcW w:w="33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E" w14:textId="6E8695BF" w:rsidR="00477502" w:rsidRDefault="00477502" w:rsidP="00477502">
            <w:r>
              <w:rPr>
                <w:i/>
                <w:iCs/>
                <w:sz w:val="17"/>
                <w:szCs w:val="17"/>
              </w:rPr>
              <w:t>"ARTÍCULO 13. SOBRE LOS LINEAMIENTOS PARA LA GESTIÓN Y DISPOSICIÓN FINAL DE RESIDUOS DERIVADOS DE LAS SOLUCIONES DE AUTOGENERACIÓN. En el marco de la implementación del Programa Colombia Solar, el Ministerio de Minas y Energía se articulará con el Ministerio de Ambiente y Desarrollo Sostenible para efectos que este último expida la regulación necesaria, o armonice la existente, para la gestión integral de los residuos que se deriven de la operación, reposición y disposición final de los sistemas de generación solar fotovoltaica."</w:t>
            </w:r>
          </w:p>
        </w:tc>
        <w:tc>
          <w:tcPr>
            <w:tcW w:w="3600" w:type="dxa"/>
            <w:tcBorders>
              <w:top w:val="single" w:sz="4" w:space="0" w:color="B7C3D9"/>
              <w:left w:val="single" w:sz="4" w:space="0" w:color="B7C3D9"/>
              <w:bottom w:val="single" w:sz="4" w:space="0" w:color="B7C3D9"/>
              <w:right w:val="single" w:sz="4" w:space="0" w:color="B7C3D9"/>
            </w:tcBorders>
            <w:tcMar>
              <w:top w:w="80" w:type="dxa"/>
              <w:left w:w="100" w:type="dxa"/>
              <w:bottom w:w="80" w:type="dxa"/>
              <w:right w:w="100" w:type="dxa"/>
            </w:tcMar>
          </w:tcPr>
          <w:p w14:paraId="6DA3B04F" w14:textId="3C2BB799" w:rsidR="00477502" w:rsidRDefault="00477502" w:rsidP="00477502">
            <w:r>
              <w:rPr>
                <w:sz w:val="18"/>
                <w:szCs w:val="18"/>
              </w:rPr>
              <w:t>Se sugiere verificar si ya existe normativa relacionada con la disposición de equipos eléctricos (Decreto 284 de 2018) y si esta fue considerada en la formulación del artículo.</w:t>
            </w:r>
          </w:p>
        </w:tc>
      </w:tr>
    </w:tbl>
    <w:p w14:paraId="7C68C02C" w14:textId="77777777" w:rsidR="00477502" w:rsidRDefault="00477502">
      <w:pPr>
        <w:spacing w:after="300"/>
      </w:pPr>
    </w:p>
    <w:p w14:paraId="6DA3B05B" w14:textId="59A14A78" w:rsidR="00F05262" w:rsidRDefault="00904EFD">
      <w:pPr>
        <w:spacing w:after="300"/>
      </w:pPr>
      <w:r>
        <w:t>Se sugiere que las observaciones anteriores sean revisadas</w:t>
      </w:r>
      <w:r>
        <w:t>, con el fin de incorporar los ajustes que se consideren pertinentes antes de continuar con el trámite de expedición de la resolución. Quedamos atentos a coordinar una mesa de trabajo si se estima conveniente.</w:t>
      </w:r>
    </w:p>
    <w:p w14:paraId="6DA3B05F" w14:textId="5617A61A" w:rsidR="00F05262" w:rsidRDefault="00F05262">
      <w:pPr>
        <w:spacing w:after="20"/>
      </w:pPr>
    </w:p>
    <w:sectPr w:rsidR="00F05262">
      <w:pgSz w:w="12240" w:h="15840"/>
      <w:pgMar w:top="1000" w:right="1100" w:bottom="1000" w:left="11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A4DE2"/>
    <w:multiLevelType w:val="hybridMultilevel"/>
    <w:tmpl w:val="34B8D93A"/>
    <w:lvl w:ilvl="0" w:tplc="2194A528">
      <w:start w:val="1"/>
      <w:numFmt w:val="bullet"/>
      <w:lvlText w:val="●"/>
      <w:lvlJc w:val="left"/>
      <w:pPr>
        <w:ind w:left="720" w:hanging="360"/>
      </w:pPr>
    </w:lvl>
    <w:lvl w:ilvl="1" w:tplc="61B2864C">
      <w:start w:val="1"/>
      <w:numFmt w:val="bullet"/>
      <w:lvlText w:val="○"/>
      <w:lvlJc w:val="left"/>
      <w:pPr>
        <w:ind w:left="1440" w:hanging="360"/>
      </w:pPr>
    </w:lvl>
    <w:lvl w:ilvl="2" w:tplc="B9322A46">
      <w:start w:val="1"/>
      <w:numFmt w:val="bullet"/>
      <w:lvlText w:val="■"/>
      <w:lvlJc w:val="left"/>
      <w:pPr>
        <w:ind w:left="2160" w:hanging="360"/>
      </w:pPr>
    </w:lvl>
    <w:lvl w:ilvl="3" w:tplc="2C9255B4">
      <w:start w:val="1"/>
      <w:numFmt w:val="bullet"/>
      <w:lvlText w:val="●"/>
      <w:lvlJc w:val="left"/>
      <w:pPr>
        <w:ind w:left="2880" w:hanging="360"/>
      </w:pPr>
    </w:lvl>
    <w:lvl w:ilvl="4" w:tplc="3ECA1BAA">
      <w:start w:val="1"/>
      <w:numFmt w:val="bullet"/>
      <w:lvlText w:val="○"/>
      <w:lvlJc w:val="left"/>
      <w:pPr>
        <w:ind w:left="3600" w:hanging="360"/>
      </w:pPr>
    </w:lvl>
    <w:lvl w:ilvl="5" w:tplc="B0C4062C">
      <w:start w:val="1"/>
      <w:numFmt w:val="bullet"/>
      <w:lvlText w:val="■"/>
      <w:lvlJc w:val="left"/>
      <w:pPr>
        <w:ind w:left="4320" w:hanging="360"/>
      </w:pPr>
    </w:lvl>
    <w:lvl w:ilvl="6" w:tplc="3050E7D6">
      <w:start w:val="1"/>
      <w:numFmt w:val="bullet"/>
      <w:lvlText w:val="●"/>
      <w:lvlJc w:val="left"/>
      <w:pPr>
        <w:ind w:left="5040" w:hanging="360"/>
      </w:pPr>
    </w:lvl>
    <w:lvl w:ilvl="7" w:tplc="8C2A92A4">
      <w:start w:val="1"/>
      <w:numFmt w:val="bullet"/>
      <w:lvlText w:val="●"/>
      <w:lvlJc w:val="left"/>
      <w:pPr>
        <w:ind w:left="5760" w:hanging="360"/>
      </w:pPr>
    </w:lvl>
    <w:lvl w:ilvl="8" w:tplc="15AA57CC">
      <w:start w:val="1"/>
      <w:numFmt w:val="bullet"/>
      <w:lvlText w:val="●"/>
      <w:lvlJc w:val="left"/>
      <w:pPr>
        <w:ind w:left="6480" w:hanging="360"/>
      </w:pPr>
    </w:lvl>
  </w:abstractNum>
  <w:num w:numId="1" w16cid:durableId="13869541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262"/>
    <w:rsid w:val="000F5002"/>
    <w:rsid w:val="00477502"/>
    <w:rsid w:val="006C15E0"/>
    <w:rsid w:val="00904EFD"/>
    <w:rsid w:val="00935159"/>
    <w:rsid w:val="00F052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3AFC6"/>
  <w15:docId w15:val="{533DAD5D-BA6D-49DB-B306-25A99DE8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3D6E82383C8B40A3094AFB3BA614FD" ma:contentTypeVersion="17" ma:contentTypeDescription="Crear nuevo documento." ma:contentTypeScope="" ma:versionID="57d3568a8fbd6c9b04d72ce6b30548a9">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465aa380b7797cabe7f6d8055440ac2d"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element ref="ns2:Fechademodific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element name="Fechademodificaci_x00f3_n" ma:index="23" nillable="true" ma:displayName="Fecha de modificación" ma:format="DateOnly" ma:internalName="Fechademodificaci_x00f3_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echademodificaci_x00f3_n xmlns="9140daf3-b17c-4d0b-be2e-0a12b28659ba" xsi:nil="true"/>
    <TaxCatchAll xmlns="ea9ac20b-8dc5-49c1-a68a-30fc4d6930a1" xsi:nil="true"/>
    <lcf76f155ced4ddcb4097134ff3c332f xmlns="9140daf3-b17c-4d0b-be2e-0a12b28659ba">
      <Terms xmlns="http://schemas.microsoft.com/office/infopath/2007/PartnerControls"/>
    </lcf76f155ced4ddcb4097134ff3c332f>
    <Fecha xmlns="9140daf3-b17c-4d0b-be2e-0a12b28659ba" xsi:nil="true"/>
  </documentManagement>
</p:properties>
</file>

<file path=customXml/itemProps1.xml><?xml version="1.0" encoding="utf-8"?>
<ds:datastoreItem xmlns:ds="http://schemas.openxmlformats.org/officeDocument/2006/customXml" ds:itemID="{A7845795-BAC7-4738-91DD-8BFFF6B36D30}"/>
</file>

<file path=customXml/itemProps2.xml><?xml version="1.0" encoding="utf-8"?>
<ds:datastoreItem xmlns:ds="http://schemas.openxmlformats.org/officeDocument/2006/customXml" ds:itemID="{F7401374-D95A-4AD1-91A1-F76B4DA6ACAD}"/>
</file>

<file path=customXml/itemProps3.xml><?xml version="1.0" encoding="utf-8"?>
<ds:datastoreItem xmlns:ds="http://schemas.openxmlformats.org/officeDocument/2006/customXml" ds:itemID="{340A3050-9E30-41E9-9366-81FCFA3649D9}"/>
</file>

<file path=docProps/app.xml><?xml version="1.0" encoding="utf-8"?>
<Properties xmlns="http://schemas.openxmlformats.org/officeDocument/2006/extended-properties" xmlns:vt="http://schemas.openxmlformats.org/officeDocument/2006/docPropsVTypes">
  <Template>Normal</Template>
  <TotalTime>7</TotalTime>
  <Pages>6</Pages>
  <Words>2768</Words>
  <Characters>15226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KELLY ALEXANDRA HERNANDEZ HERNANDEZ</cp:lastModifiedBy>
  <cp:revision>2</cp:revision>
  <dcterms:created xsi:type="dcterms:W3CDTF">2026-07-31T16:25:00Z</dcterms:created>
  <dcterms:modified xsi:type="dcterms:W3CDTF">2026-07-31T16:25:00Z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0x010100FD3D6E82383C8B40A3094AFB3BA614FD</vt:lpwstr>
  </property>
</Properties>
</file>